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before="0" w:line="259" w:lineRule="auto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3120"/>
        <w:gridCol w:w="1395"/>
        <w:gridCol w:w="3285"/>
        <w:tblGridChange w:id="0">
          <w:tblGrid>
            <w:gridCol w:w="1530"/>
            <w:gridCol w:w="3120"/>
            <w:gridCol w:w="1395"/>
            <w:gridCol w:w="32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DIRECTOR OF COMMUNITY ENGAGEMENT, EDUCATION, AND ADVOCACY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POSITION]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jc w:val="left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d9d9d9" w:val="clear"/>
        <w:jc w:val="left"/>
        <w:rPr>
          <w:rFonts w:ascii="Calibri" w:cs="Calibri" w:eastAsia="Calibri" w:hAnsi="Calibri"/>
          <w:b w:val="1"/>
          <w:sz w:val="22"/>
          <w:szCs w:val="22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is a(n)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Type of Organization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with the aim of providing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Organization Purpose/Goals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to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Clientele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] by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Method(s) of Providing Services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any other Information about the Organization’s Mission/Purpose/Goals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Director of Community Engagement, Education, and Advocacy is a key member of the senior management team, assisting in decision-making and programmatic planning. The Director will lead, plan, and direct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]'s community engagement and organize strategy, as well as execute it for special projects.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d9d9d9" w:val="clear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auto" w:val="clear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Overall responsibilities include, but are not limited to: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08.6614173228347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Liaise and collaborate with other Directors to develop and deliver multi disciplinary programs and research designed to improve the individual and community health of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Location/Specific Community Served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08.6614173228347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Responsible for  collaborative partnerships with key internal and external stakeholders to affect policy change including by: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Rule="auto"/>
        <w:ind w:left="21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leveraging resources,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Rule="auto"/>
        <w:ind w:left="21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increasing capacity,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Rule="auto"/>
        <w:ind w:left="21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ensuring the planning of effective, coordinated programs,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Rule="auto"/>
        <w:ind w:left="21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developing guidelines, strategies, and frameworks that will assist service providers, operations, and external partners to promote health and well-being within the target population.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708.6614173228347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Develop education workshops to address identified topics relating to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Field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 for the specified population.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08.6614173228347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Help build cultural understanding through facilitation, developing and delivering educational workshops.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Rule="auto"/>
        <w:ind w:left="708.6614173228347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Build trust with others by nurturing collaborative relationships while engaging with internal and external stakeholders.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Rule="auto"/>
        <w:ind w:left="708.6614173228347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Design and promote volunteer activities and ensure that volunteer time is tracked.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lineRule="auto"/>
        <w:ind w:left="708.6614173228347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Additional related duties as required.  </w:t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d9d9d9" w:val="clear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auto" w:val="clear"/>
          <w:rtl w:val="0"/>
        </w:rPr>
        <w:t xml:space="preserve">Key Qualifications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28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post secondary degree or diploma required in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field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 least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years of professional experience in relevant fields or functions, with at least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years in positions involving campaigning, organizing, or advocacy.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Strong organizational and planning skills.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Inspires a culture of shared core values to create a unified and engaged environment.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Displays a high level of integrity and transparency, is seen as ethical and compliant with a strong belief in building trust and an inclusive culture.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Leads through complexity and ambiguity and has the presence to maintain a calm demeanour in high-stress situations.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Knows, understands, and operates sensitively and effectively within community service structures and climates, and strategically builds consensus.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Analyzes and synthesizes information to understand issues, identify options, and make appropriate, and timely decisions.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Demonstrated high level of judgment, tact, and diplomacy in interacting with a wide variety of internal and external stakeholders.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80" w:before="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Proficiency with Microsoft Office applications.</w:t>
      </w:r>
    </w:p>
    <w:p w:rsidR="00000000" w:rsidDel="00000000" w:rsidP="00000000" w:rsidRDefault="00000000" w:rsidRPr="00000000" w14:paraId="00000029">
      <w:pPr>
        <w:pageBreakBefore w:val="0"/>
        <w:shd w:fill="d9d9d9" w:val="clear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left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This position is based in an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Insert Type of Environment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] environment.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Sitting for long periods.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Exposure to a computer or laptop screen for (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) percentage of time.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The standard workweek for this position is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[insert #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] hours.  The standard business hours for this position is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. Overtime and hours worked outside of the standard work schedule may be required.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This position is subjected to high pressure due to work volume, numerous competing demands, time sensitive schedules and goals, dynamic priorities, interruptions and an overall fast pace.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0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Formal COVID-19 precautions are in place for employees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ageBreakBefore w:val="0"/>
        <w:spacing w:before="0" w:line="240" w:lineRule="auto"/>
        <w:ind w:left="7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  <w:tab/>
      <w:tab/>
      <w:tab/>
      <w:tab/>
      <w:t xml:space="preserve">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680"/>
      </w:tabs>
      <w:spacing w:before="0" w:lineRule="auto"/>
      <w:rPr>
        <w:b w:val="1"/>
      </w:rPr>
    </w:pPr>
    <w:r w:rsidDel="00000000" w:rsidR="00000000" w:rsidRPr="00000000">
      <w:rPr>
        <w:rFonts w:ascii="Arial" w:cs="Arial" w:eastAsia="Arial" w:hAnsi="Arial"/>
        <w:sz w:val="22"/>
        <w:szCs w:val="22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highlight w:val="white"/>
        <w:lang w:val="en"/>
      </w:rPr>
    </w:rPrDefault>
    <w:pPrDefault>
      <w:pPr>
        <w:spacing w:before="4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gafdUPV8pCPAKgmG0ENlW25uw==">CgMxLjAyCGguZ2pkZ3hzOAByITEyWmdaXzNhVy1HV1U4aFZRZnBkSFROcDQxZU5jSHM2OA==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